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3461" w:rsidRDefault="000F776E">
      <w:r>
        <w:t xml:space="preserve">Задание 1 </w:t>
      </w:r>
    </w:p>
    <w:p w:rsidR="00AD1AE3" w:rsidRDefault="00AD1AE3"/>
    <w:p w:rsidR="00AD1AE3" w:rsidRDefault="00AD1AE3">
      <w:r>
        <w:t xml:space="preserve">Вопросы, кающиеся защиты коммерческой тайны лучше решать с самого начала, так как в будущем может возникнуть проблема утечки данных, что повлияет на падении продаж, а также на конкурентоспособность фирмы. </w:t>
      </w:r>
    </w:p>
    <w:p w:rsidR="00AD1AE3" w:rsidRDefault="00AD1AE3">
      <w:r>
        <w:t xml:space="preserve">На организацию утечка сведений влияет следующим образом: </w:t>
      </w:r>
    </w:p>
    <w:p w:rsidR="000F776E" w:rsidRDefault="000F776E">
      <w:r>
        <w:rPr>
          <w:noProof/>
        </w:rPr>
        <w:drawing>
          <wp:inline distT="0" distB="0" distL="0" distR="0">
            <wp:extent cx="5486400" cy="294640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AD1AE3" w:rsidRDefault="00AD1AE3"/>
    <w:p w:rsidR="00AD1AE3" w:rsidRPr="00AD1AE3" w:rsidRDefault="00AD1AE3" w:rsidP="00AD1AE3">
      <w:pPr>
        <w:textAlignment w:val="baseline"/>
        <w:rPr>
          <w:rFonts w:eastAsia="Times New Roman" w:cs="Arial"/>
          <w:color w:val="000000" w:themeColor="text1"/>
          <w:spacing w:val="5"/>
          <w:lang w:eastAsia="ru-RU"/>
        </w:rPr>
      </w:pPr>
      <w:r w:rsidRPr="00AD1AE3">
        <w:rPr>
          <w:rFonts w:eastAsia="Times New Roman" w:cs="Arial"/>
          <w:color w:val="000000" w:themeColor="text1"/>
          <w:spacing w:val="5"/>
          <w:lang w:eastAsia="ru-RU"/>
        </w:rPr>
        <w:t>Набор элементов механизма защиты </w:t>
      </w:r>
      <w:hyperlink r:id="rId10" w:tgtFrame="_blank" w:history="1">
        <w:r w:rsidRPr="00AD1AE3">
          <w:rPr>
            <w:rFonts w:eastAsia="Times New Roman" w:cs="Arial"/>
            <w:color w:val="000000" w:themeColor="text1"/>
            <w:spacing w:val="5"/>
            <w:bdr w:val="none" w:sz="0" w:space="0" w:color="auto" w:frame="1"/>
            <w:lang w:eastAsia="ru-RU"/>
          </w:rPr>
          <w:t>предпринимательской тайны</w:t>
        </w:r>
      </w:hyperlink>
      <w:r w:rsidRPr="007F25EE">
        <w:rPr>
          <w:rFonts w:eastAsia="Times New Roman" w:cs="Arial"/>
          <w:color w:val="000000" w:themeColor="text1"/>
          <w:spacing w:val="5"/>
          <w:lang w:eastAsia="ru-RU"/>
        </w:rPr>
        <w:t xml:space="preserve"> </w:t>
      </w:r>
      <w:r w:rsidRPr="00AD1AE3">
        <w:rPr>
          <w:rFonts w:eastAsia="Times New Roman" w:cs="Arial"/>
          <w:color w:val="000000" w:themeColor="text1"/>
          <w:spacing w:val="5"/>
          <w:lang w:eastAsia="ru-RU"/>
        </w:rPr>
        <w:t>зависит от вида предпринимательской деятельности, размеров фирмы и других критериев функционирования фирмы может. Важную роль играют и финансово-материальные возможности, необходимые для организации защиты экономической безопасности.</w:t>
      </w:r>
    </w:p>
    <w:p w:rsidR="00AD1AE3" w:rsidRPr="00AD1AE3" w:rsidRDefault="00AD1AE3" w:rsidP="00AD1AE3">
      <w:pPr>
        <w:spacing w:after="360"/>
        <w:textAlignment w:val="baseline"/>
        <w:rPr>
          <w:rFonts w:eastAsia="Times New Roman" w:cs="Arial"/>
          <w:color w:val="000000" w:themeColor="text1"/>
          <w:spacing w:val="5"/>
          <w:lang w:eastAsia="ru-RU"/>
        </w:rPr>
      </w:pPr>
      <w:r w:rsidRPr="00AD1AE3">
        <w:rPr>
          <w:rFonts w:eastAsia="Times New Roman" w:cs="Arial"/>
          <w:color w:val="000000" w:themeColor="text1"/>
          <w:spacing w:val="5"/>
          <w:lang w:eastAsia="ru-RU"/>
        </w:rPr>
        <w:t>Как правило, для комплексного решения всех вопросов, связанных с защитой предпринимательской тайны, на фирме создается собственная служба безопасности, начальник которой является и заместителем руководителя фирмы.</w:t>
      </w:r>
    </w:p>
    <w:p w:rsidR="00AD1AE3" w:rsidRPr="00AD1AE3" w:rsidRDefault="00AD1AE3" w:rsidP="00AD1AE3">
      <w:pPr>
        <w:spacing w:after="360"/>
        <w:textAlignment w:val="baseline"/>
        <w:rPr>
          <w:rFonts w:eastAsia="Times New Roman" w:cs="Arial"/>
          <w:color w:val="000000" w:themeColor="text1"/>
          <w:spacing w:val="5"/>
          <w:lang w:eastAsia="ru-RU"/>
        </w:rPr>
      </w:pPr>
      <w:r w:rsidRPr="00AD1AE3">
        <w:rPr>
          <w:rFonts w:eastAsia="Times New Roman" w:cs="Arial"/>
          <w:color w:val="000000" w:themeColor="text1"/>
          <w:spacing w:val="5"/>
          <w:lang w:eastAsia="ru-RU"/>
        </w:rPr>
        <w:t>Однако отдельными вопросами защиты экономической безопасности могут заниматься специализированные охранные предприятия, выполняющие свои функции по договору с фирмой.</w:t>
      </w:r>
    </w:p>
    <w:p w:rsidR="00AD1AE3" w:rsidRPr="00AD1AE3" w:rsidRDefault="00AD1AE3" w:rsidP="00AD1AE3">
      <w:pPr>
        <w:textAlignment w:val="baseline"/>
        <w:rPr>
          <w:rFonts w:eastAsia="Times New Roman" w:cs="Arial"/>
          <w:color w:val="000000" w:themeColor="text1"/>
          <w:spacing w:val="5"/>
          <w:lang w:eastAsia="ru-RU"/>
        </w:rPr>
      </w:pPr>
      <w:r w:rsidRPr="00AD1AE3">
        <w:rPr>
          <w:rFonts w:eastAsia="Times New Roman" w:cs="Arial"/>
          <w:b/>
          <w:bCs/>
          <w:color w:val="000000" w:themeColor="text1"/>
          <w:spacing w:val="5"/>
          <w:bdr w:val="none" w:sz="0" w:space="0" w:color="auto" w:frame="1"/>
          <w:lang w:eastAsia="ru-RU"/>
        </w:rPr>
        <w:t>Важное значение имеет подбор высококвалифицированных специалистов службы безопасности фирмы, нормативное установление обязанностей сотрудников и функций службы безопасности:</w:t>
      </w:r>
    </w:p>
    <w:p w:rsidR="00AD1AE3" w:rsidRPr="00AD1AE3" w:rsidRDefault="00AD1AE3" w:rsidP="00AD1AE3">
      <w:pPr>
        <w:numPr>
          <w:ilvl w:val="0"/>
          <w:numId w:val="1"/>
        </w:numPr>
        <w:ind w:left="375"/>
        <w:textAlignment w:val="baseline"/>
        <w:rPr>
          <w:rFonts w:eastAsia="Times New Roman" w:cs="Arial"/>
          <w:color w:val="000000" w:themeColor="text1"/>
          <w:spacing w:val="5"/>
          <w:lang w:eastAsia="ru-RU"/>
        </w:rPr>
      </w:pPr>
      <w:r w:rsidRPr="00AD1AE3">
        <w:rPr>
          <w:rFonts w:eastAsia="Times New Roman" w:cs="Arial"/>
          <w:color w:val="000000" w:themeColor="text1"/>
          <w:spacing w:val="5"/>
          <w:lang w:eastAsia="ru-RU"/>
        </w:rPr>
        <w:t>организация и обеспечение пропускного и внутри</w:t>
      </w:r>
      <w:r w:rsidRPr="007F25EE">
        <w:rPr>
          <w:rFonts w:eastAsia="Times New Roman" w:cs="Arial"/>
          <w:color w:val="000000" w:themeColor="text1"/>
          <w:spacing w:val="5"/>
          <w:lang w:eastAsia="ru-RU"/>
        </w:rPr>
        <w:t xml:space="preserve"> </w:t>
      </w:r>
      <w:r w:rsidRPr="00AD1AE3">
        <w:rPr>
          <w:rFonts w:eastAsia="Times New Roman" w:cs="Arial"/>
          <w:color w:val="000000" w:themeColor="text1"/>
          <w:spacing w:val="5"/>
          <w:lang w:eastAsia="ru-RU"/>
        </w:rPr>
        <w:t>объектового режима в зданиях и помещениях, несение охраны, контроль за соблюдением установленного режима на фирме сотрудниками, посетителями</w:t>
      </w:r>
    </w:p>
    <w:p w:rsidR="00AD1AE3" w:rsidRPr="00AD1AE3" w:rsidRDefault="00AD1AE3" w:rsidP="00AD1AE3">
      <w:pPr>
        <w:numPr>
          <w:ilvl w:val="0"/>
          <w:numId w:val="1"/>
        </w:numPr>
        <w:ind w:left="375"/>
        <w:textAlignment w:val="baseline"/>
        <w:rPr>
          <w:rFonts w:eastAsia="Times New Roman" w:cs="Arial"/>
          <w:color w:val="000000" w:themeColor="text1"/>
          <w:spacing w:val="5"/>
          <w:lang w:eastAsia="ru-RU"/>
        </w:rPr>
      </w:pPr>
      <w:r w:rsidRPr="00AD1AE3">
        <w:rPr>
          <w:rFonts w:eastAsia="Times New Roman" w:cs="Arial"/>
          <w:color w:val="000000" w:themeColor="text1"/>
          <w:spacing w:val="5"/>
          <w:lang w:eastAsia="ru-RU"/>
        </w:rPr>
        <w:t>проведение мероприятий по правовому и организационному регулированию отношений на фирме по защите предпринимательской тайны и экономической безопасности</w:t>
      </w:r>
    </w:p>
    <w:p w:rsidR="00AD1AE3" w:rsidRPr="00AD1AE3" w:rsidRDefault="00AD1AE3" w:rsidP="00AD1AE3">
      <w:pPr>
        <w:numPr>
          <w:ilvl w:val="0"/>
          <w:numId w:val="1"/>
        </w:numPr>
        <w:ind w:left="375"/>
        <w:textAlignment w:val="baseline"/>
        <w:rPr>
          <w:rFonts w:eastAsia="Times New Roman" w:cs="Arial"/>
          <w:color w:val="000000" w:themeColor="text1"/>
          <w:spacing w:val="5"/>
          <w:lang w:eastAsia="ru-RU"/>
        </w:rPr>
      </w:pPr>
      <w:r w:rsidRPr="00AD1AE3">
        <w:rPr>
          <w:rFonts w:eastAsia="Times New Roman" w:cs="Arial"/>
          <w:color w:val="000000" w:themeColor="text1"/>
          <w:spacing w:val="5"/>
          <w:lang w:eastAsia="ru-RU"/>
        </w:rPr>
        <w:t>участие в разработке основных нормативных документов (инструкций, положений), устанавливающих порядок и принципы защиты предпринимательской тайны</w:t>
      </w:r>
    </w:p>
    <w:p w:rsidR="00AD1AE3" w:rsidRPr="00AD1AE3" w:rsidRDefault="00AD1AE3" w:rsidP="00AD1AE3">
      <w:pPr>
        <w:numPr>
          <w:ilvl w:val="0"/>
          <w:numId w:val="1"/>
        </w:numPr>
        <w:ind w:left="375"/>
        <w:textAlignment w:val="baseline"/>
        <w:rPr>
          <w:rFonts w:eastAsia="Times New Roman" w:cs="Arial"/>
          <w:color w:val="000000" w:themeColor="text1"/>
          <w:spacing w:val="5"/>
          <w:lang w:eastAsia="ru-RU"/>
        </w:rPr>
      </w:pPr>
      <w:r w:rsidRPr="00AD1AE3">
        <w:rPr>
          <w:rFonts w:eastAsia="Times New Roman" w:cs="Arial"/>
          <w:color w:val="000000" w:themeColor="text1"/>
          <w:spacing w:val="5"/>
          <w:lang w:eastAsia="ru-RU"/>
        </w:rPr>
        <w:t>участие в разработке должностных инструкций, обязанностей руководителей подразделений, специалистов, всех категорий работников</w:t>
      </w:r>
    </w:p>
    <w:p w:rsidR="00AD1AE3" w:rsidRPr="00AD1AE3" w:rsidRDefault="00AD1AE3" w:rsidP="00AD1AE3">
      <w:pPr>
        <w:numPr>
          <w:ilvl w:val="0"/>
          <w:numId w:val="1"/>
        </w:numPr>
        <w:ind w:left="375"/>
        <w:textAlignment w:val="baseline"/>
        <w:rPr>
          <w:rFonts w:eastAsia="Times New Roman" w:cs="Arial"/>
          <w:color w:val="000000" w:themeColor="text1"/>
          <w:spacing w:val="5"/>
          <w:lang w:eastAsia="ru-RU"/>
        </w:rPr>
      </w:pPr>
      <w:r w:rsidRPr="00AD1AE3">
        <w:rPr>
          <w:rFonts w:eastAsia="Times New Roman" w:cs="Arial"/>
          <w:color w:val="000000" w:themeColor="text1"/>
          <w:spacing w:val="5"/>
          <w:lang w:eastAsia="ru-RU"/>
        </w:rPr>
        <w:lastRenderedPageBreak/>
        <w:t>обеспечение сохранности документов, содержащих сведения, являющиеся коммерческой тайной, прекращения их хищения или передачи сведений заинтересованным лицам иными способами</w:t>
      </w:r>
    </w:p>
    <w:p w:rsidR="00AD1AE3" w:rsidRPr="00AD1AE3" w:rsidRDefault="00AD1AE3" w:rsidP="00AD1AE3">
      <w:pPr>
        <w:numPr>
          <w:ilvl w:val="0"/>
          <w:numId w:val="1"/>
        </w:numPr>
        <w:ind w:left="375"/>
        <w:textAlignment w:val="baseline"/>
        <w:rPr>
          <w:rFonts w:eastAsia="Times New Roman" w:cs="Arial"/>
          <w:color w:val="000000" w:themeColor="text1"/>
          <w:spacing w:val="5"/>
          <w:lang w:eastAsia="ru-RU"/>
        </w:rPr>
      </w:pPr>
      <w:r w:rsidRPr="00AD1AE3">
        <w:rPr>
          <w:rFonts w:eastAsia="Times New Roman" w:cs="Arial"/>
          <w:color w:val="000000" w:themeColor="text1"/>
          <w:spacing w:val="5"/>
          <w:lang w:eastAsia="ru-RU"/>
        </w:rPr>
        <w:t>организация проведения служебных расследований по фактам разглашения сведений, составляющих предпринимательскую тайну, потерь документов и других нарушений безопасности фирмы, а также и другие функции, которые должны быть установлены в положении о службе безопасности, утвержденном руководителем фирмы</w:t>
      </w:r>
    </w:p>
    <w:p w:rsidR="00AD1AE3" w:rsidRPr="00AD1AE3" w:rsidRDefault="00AD1AE3" w:rsidP="00AD1AE3">
      <w:pPr>
        <w:rPr>
          <w:rFonts w:eastAsia="Times New Roman" w:cs="Times New Roman"/>
          <w:color w:val="000000" w:themeColor="text1"/>
          <w:lang w:eastAsia="ru-RU"/>
        </w:rPr>
      </w:pPr>
    </w:p>
    <w:p w:rsidR="00AD1AE3" w:rsidRPr="007F25EE" w:rsidRDefault="00AD1AE3">
      <w:pPr>
        <w:rPr>
          <w:color w:val="000000" w:themeColor="text1"/>
        </w:rPr>
      </w:pPr>
    </w:p>
    <w:p w:rsidR="00AD1AE3" w:rsidRPr="007F25EE" w:rsidRDefault="00AD1AE3">
      <w:pPr>
        <w:rPr>
          <w:color w:val="000000" w:themeColor="text1"/>
        </w:rPr>
      </w:pPr>
      <w:r w:rsidRPr="007F25EE">
        <w:rPr>
          <w:color w:val="000000" w:themeColor="text1"/>
        </w:rPr>
        <w:t xml:space="preserve">Задание 2 </w:t>
      </w:r>
    </w:p>
    <w:p w:rsidR="00AD1AE3" w:rsidRPr="007F25EE" w:rsidRDefault="00AD1AE3">
      <w:pPr>
        <w:rPr>
          <w:color w:val="000000" w:themeColor="text1"/>
        </w:rPr>
      </w:pPr>
      <w:r w:rsidRPr="007F25EE">
        <w:rPr>
          <w:color w:val="000000" w:themeColor="text1"/>
        </w:rPr>
        <w:t xml:space="preserve">Главной причиной возникновения предпринимательского риска является - возникновение неоднозначности, неопределенности между хозяйственными субъектами. </w:t>
      </w:r>
    </w:p>
    <w:p w:rsidR="00AD1AE3" w:rsidRPr="007F25EE" w:rsidRDefault="00AD1AE3">
      <w:pPr>
        <w:rPr>
          <w:color w:val="000000" w:themeColor="text1"/>
        </w:rPr>
      </w:pPr>
      <w:r w:rsidRPr="007F25EE">
        <w:rPr>
          <w:color w:val="000000" w:themeColor="text1"/>
        </w:rPr>
        <w:t xml:space="preserve">К основным источникам риска также относятся: </w:t>
      </w:r>
    </w:p>
    <w:p w:rsidR="00AD1AE3" w:rsidRPr="007F25EE" w:rsidRDefault="00AD1AE3" w:rsidP="00AD1AE3">
      <w:pPr>
        <w:pStyle w:val="a6"/>
        <w:numPr>
          <w:ilvl w:val="0"/>
          <w:numId w:val="2"/>
        </w:numPr>
        <w:rPr>
          <w:color w:val="000000" w:themeColor="text1"/>
        </w:rPr>
      </w:pPr>
      <w:r w:rsidRPr="007F25EE">
        <w:rPr>
          <w:color w:val="000000" w:themeColor="text1"/>
        </w:rPr>
        <w:t xml:space="preserve">случайность событий, действий и поведения субъектов; </w:t>
      </w:r>
    </w:p>
    <w:p w:rsidR="00AD1AE3" w:rsidRPr="007F25EE" w:rsidRDefault="00AD1AE3" w:rsidP="00AD1AE3">
      <w:pPr>
        <w:pStyle w:val="a6"/>
        <w:numPr>
          <w:ilvl w:val="0"/>
          <w:numId w:val="2"/>
        </w:numPr>
        <w:rPr>
          <w:color w:val="000000" w:themeColor="text1"/>
        </w:rPr>
      </w:pPr>
      <w:r w:rsidRPr="007F25EE">
        <w:rPr>
          <w:color w:val="000000" w:themeColor="text1"/>
        </w:rPr>
        <w:t>спонтанный характер природных процессов и стихий;</w:t>
      </w:r>
    </w:p>
    <w:p w:rsidR="00AD1AE3" w:rsidRPr="007F25EE" w:rsidRDefault="00AD1AE3" w:rsidP="00AD1AE3">
      <w:pPr>
        <w:pStyle w:val="a6"/>
        <w:numPr>
          <w:ilvl w:val="0"/>
          <w:numId w:val="2"/>
        </w:numPr>
        <w:rPr>
          <w:color w:val="000000" w:themeColor="text1"/>
        </w:rPr>
      </w:pPr>
      <w:r w:rsidRPr="007F25EE">
        <w:rPr>
          <w:color w:val="000000" w:themeColor="text1"/>
        </w:rPr>
        <w:t>присутствие противоборствующих тенденций, потоков на объекте предпринимательской деятельности;</w:t>
      </w:r>
    </w:p>
    <w:p w:rsidR="007F25EE" w:rsidRPr="007F25EE" w:rsidRDefault="00AD1AE3" w:rsidP="00AD1AE3">
      <w:pPr>
        <w:pStyle w:val="a6"/>
        <w:numPr>
          <w:ilvl w:val="0"/>
          <w:numId w:val="2"/>
        </w:numPr>
        <w:rPr>
          <w:rFonts w:eastAsia="Times New Roman" w:cs="Times New Roman"/>
          <w:color w:val="000000" w:themeColor="text1"/>
          <w:lang w:eastAsia="ru-RU"/>
        </w:rPr>
      </w:pPr>
      <w:r w:rsidRPr="007F25EE">
        <w:rPr>
          <w:rFonts w:eastAsia="Times New Roman" w:cs="Open Sans"/>
          <w:color w:val="000000" w:themeColor="text1"/>
          <w:lang w:eastAsia="ru-RU"/>
        </w:rPr>
        <w:t xml:space="preserve">вероятностный характер социально-экономического развития, изменчивость социально-экономических требований к объекту предпринимательства; </w:t>
      </w:r>
    </w:p>
    <w:p w:rsidR="007F25EE" w:rsidRPr="007F25EE" w:rsidRDefault="00AD1AE3" w:rsidP="00AD1AE3">
      <w:pPr>
        <w:pStyle w:val="a6"/>
        <w:numPr>
          <w:ilvl w:val="0"/>
          <w:numId w:val="2"/>
        </w:numPr>
        <w:rPr>
          <w:rFonts w:eastAsia="Times New Roman" w:cs="Times New Roman"/>
          <w:color w:val="000000" w:themeColor="text1"/>
          <w:lang w:eastAsia="ru-RU"/>
        </w:rPr>
      </w:pPr>
      <w:r w:rsidRPr="007F25EE">
        <w:rPr>
          <w:rFonts w:eastAsia="Times New Roman" w:cs="Open Sans"/>
          <w:color w:val="000000" w:themeColor="text1"/>
          <w:lang w:eastAsia="ru-RU"/>
        </w:rPr>
        <w:t xml:space="preserve">погрешности информации об объекте предпринимательства; </w:t>
      </w:r>
    </w:p>
    <w:p w:rsidR="007F25EE" w:rsidRPr="007F25EE" w:rsidRDefault="00AD1AE3" w:rsidP="00AD1AE3">
      <w:pPr>
        <w:pStyle w:val="a6"/>
        <w:numPr>
          <w:ilvl w:val="0"/>
          <w:numId w:val="2"/>
        </w:numPr>
        <w:rPr>
          <w:rFonts w:eastAsia="Times New Roman" w:cs="Times New Roman"/>
          <w:color w:val="000000" w:themeColor="text1"/>
          <w:lang w:eastAsia="ru-RU"/>
        </w:rPr>
      </w:pPr>
      <w:r w:rsidRPr="007F25EE">
        <w:rPr>
          <w:rFonts w:eastAsia="Times New Roman" w:cs="Open Sans"/>
          <w:color w:val="000000" w:themeColor="text1"/>
          <w:lang w:eastAsia="ru-RU"/>
        </w:rPr>
        <w:t xml:space="preserve">ограниченность ресурсов для преодоления случайных факторов; </w:t>
      </w:r>
    </w:p>
    <w:p w:rsidR="007F25EE" w:rsidRPr="007F25EE" w:rsidRDefault="00AD1AE3" w:rsidP="00AD1AE3">
      <w:pPr>
        <w:pStyle w:val="a6"/>
        <w:numPr>
          <w:ilvl w:val="0"/>
          <w:numId w:val="2"/>
        </w:numPr>
        <w:rPr>
          <w:rFonts w:eastAsia="Times New Roman" w:cs="Times New Roman"/>
          <w:color w:val="000000" w:themeColor="text1"/>
          <w:lang w:eastAsia="ru-RU"/>
        </w:rPr>
      </w:pPr>
      <w:r w:rsidRPr="007F25EE">
        <w:rPr>
          <w:rFonts w:eastAsia="Times New Roman" w:cs="Open Sans"/>
          <w:color w:val="000000" w:themeColor="text1"/>
          <w:lang w:eastAsia="ru-RU"/>
        </w:rPr>
        <w:t xml:space="preserve">неоднозначность познания объекта; </w:t>
      </w:r>
    </w:p>
    <w:p w:rsidR="007F25EE" w:rsidRPr="007F25EE" w:rsidRDefault="00AD1AE3" w:rsidP="00AD1AE3">
      <w:pPr>
        <w:pStyle w:val="a6"/>
        <w:numPr>
          <w:ilvl w:val="0"/>
          <w:numId w:val="2"/>
        </w:numPr>
        <w:rPr>
          <w:rFonts w:eastAsia="Times New Roman" w:cs="Times New Roman"/>
          <w:color w:val="000000" w:themeColor="text1"/>
          <w:lang w:eastAsia="ru-RU"/>
        </w:rPr>
      </w:pPr>
      <w:r w:rsidRPr="007F25EE">
        <w:rPr>
          <w:rFonts w:eastAsia="Times New Roman" w:cs="Open Sans"/>
          <w:color w:val="000000" w:themeColor="text1"/>
          <w:lang w:eastAsia="ru-RU"/>
        </w:rPr>
        <w:t xml:space="preserve">несовпадения субъективных оценок и экономического поведения; </w:t>
      </w:r>
    </w:p>
    <w:p w:rsidR="00AD1AE3" w:rsidRPr="007F25EE" w:rsidRDefault="00AD1AE3" w:rsidP="00AD1AE3">
      <w:pPr>
        <w:pStyle w:val="a6"/>
        <w:numPr>
          <w:ilvl w:val="0"/>
          <w:numId w:val="2"/>
        </w:numPr>
        <w:rPr>
          <w:rFonts w:eastAsia="Times New Roman" w:cs="Times New Roman"/>
          <w:color w:val="000000" w:themeColor="text1"/>
          <w:lang w:eastAsia="ru-RU"/>
        </w:rPr>
      </w:pPr>
      <w:r w:rsidRPr="007F25EE">
        <w:rPr>
          <w:rFonts w:eastAsia="Times New Roman" w:cs="Open Sans"/>
          <w:color w:val="000000" w:themeColor="text1"/>
          <w:lang w:eastAsia="ru-RU"/>
        </w:rPr>
        <w:t>несовершенство хозяйственного механизма.</w:t>
      </w:r>
      <w:r w:rsidRPr="007F25EE">
        <w:rPr>
          <w:rFonts w:eastAsia="Times New Roman" w:cs="Open Sans"/>
          <w:color w:val="000000" w:themeColor="text1"/>
          <w:lang w:eastAsia="ru-RU"/>
        </w:rPr>
        <w:br/>
      </w:r>
    </w:p>
    <w:p w:rsidR="007F25EE" w:rsidRPr="007F25EE" w:rsidRDefault="007F25EE" w:rsidP="007F25EE">
      <w:pPr>
        <w:pStyle w:val="a6"/>
        <w:numPr>
          <w:ilvl w:val="0"/>
          <w:numId w:val="4"/>
        </w:numPr>
        <w:rPr>
          <w:rFonts w:eastAsia="Times New Roman" w:cs="Times New Roman"/>
          <w:color w:val="000000" w:themeColor="text1"/>
          <w:lang w:eastAsia="ru-RU"/>
        </w:rPr>
      </w:pPr>
      <w:r w:rsidRPr="007F25EE">
        <w:rPr>
          <w:rFonts w:eastAsia="Times New Roman" w:cs="Times New Roman"/>
          <w:color w:val="000000" w:themeColor="text1"/>
          <w:lang w:eastAsia="ru-RU"/>
        </w:rPr>
        <w:t xml:space="preserve">Механизм нейтрализации – Решение об отказе от определенных предпринимательских рисков </w:t>
      </w:r>
    </w:p>
    <w:p w:rsidR="007F25EE" w:rsidRPr="007F25EE" w:rsidRDefault="007F25EE" w:rsidP="007F25EE">
      <w:pPr>
        <w:rPr>
          <w:rFonts w:eastAsia="Times New Roman" w:cs="Times New Roman"/>
          <w:color w:val="000000" w:themeColor="text1"/>
          <w:lang w:eastAsia="ru-RU"/>
        </w:rPr>
      </w:pPr>
      <w:r w:rsidRPr="007F25EE">
        <w:rPr>
          <w:rFonts w:eastAsia="Times New Roman" w:cs="Tahoma"/>
          <w:color w:val="000000" w:themeColor="text1"/>
          <w:shd w:val="clear" w:color="auto" w:fill="FFFFFF"/>
          <w:lang w:eastAsia="ru-RU"/>
        </w:rPr>
        <w:t xml:space="preserve">Решение об отказе от определенных предпринимательских рисков может быть принято как на предварительной стадии принятия решения, так и позднее, путем отказа от дальнейшего осуществления деятельности, в том случае, если риск оказался выше предполагаемого. Однако большинство решений об </w:t>
      </w:r>
      <w:proofErr w:type="spellStart"/>
      <w:r w:rsidRPr="007F25EE">
        <w:rPr>
          <w:rFonts w:eastAsia="Times New Roman" w:cs="Tahoma"/>
          <w:color w:val="000000" w:themeColor="text1"/>
          <w:shd w:val="clear" w:color="auto" w:fill="FFFFFF"/>
          <w:lang w:eastAsia="ru-RU"/>
        </w:rPr>
        <w:t>избежании</w:t>
      </w:r>
      <w:proofErr w:type="spellEnd"/>
      <w:r w:rsidRPr="007F25EE">
        <w:rPr>
          <w:rFonts w:eastAsia="Times New Roman" w:cs="Tahoma"/>
          <w:color w:val="000000" w:themeColor="text1"/>
          <w:shd w:val="clear" w:color="auto" w:fill="FFFFFF"/>
          <w:lang w:eastAsia="ru-RU"/>
        </w:rPr>
        <w:t xml:space="preserve"> риска принимается на предварительной стадии принятия решения, так как отказ от продолжения деятельности часто влечет значительные финансовые и иные потери для фирмы, а иногда затруднителен в связи с контрактными обязательствами предпринимательской фирм</w:t>
      </w:r>
    </w:p>
    <w:p w:rsidR="007F25EE" w:rsidRPr="007F25EE" w:rsidRDefault="007F25EE" w:rsidP="007F25EE">
      <w:pPr>
        <w:pStyle w:val="a6"/>
        <w:numPr>
          <w:ilvl w:val="0"/>
          <w:numId w:val="4"/>
        </w:numPr>
        <w:rPr>
          <w:rFonts w:eastAsia="Times New Roman" w:cs="Times New Roman"/>
          <w:color w:val="000000" w:themeColor="text1"/>
          <w:lang w:eastAsia="ru-RU"/>
        </w:rPr>
      </w:pPr>
      <w:r w:rsidRPr="007F25EE">
        <w:rPr>
          <w:rFonts w:eastAsia="Times New Roman" w:cs="Times New Roman"/>
          <w:color w:val="000000" w:themeColor="text1"/>
          <w:lang w:eastAsia="ru-RU"/>
        </w:rPr>
        <w:t xml:space="preserve">Механизм нейтрализации – Принятие рисков </w:t>
      </w:r>
    </w:p>
    <w:p w:rsidR="007F25EE" w:rsidRPr="007F25EE" w:rsidRDefault="007F25EE" w:rsidP="007F25EE">
      <w:pPr>
        <w:spacing w:before="225" w:after="100" w:afterAutospacing="1" w:line="288" w:lineRule="atLeast"/>
        <w:ind w:right="525"/>
        <w:rPr>
          <w:rFonts w:eastAsia="Times New Roman" w:cs="Tahoma"/>
          <w:color w:val="000000" w:themeColor="text1"/>
          <w:lang w:eastAsia="ru-RU"/>
        </w:rPr>
      </w:pPr>
      <w:r w:rsidRPr="007F25EE">
        <w:rPr>
          <w:rFonts w:eastAsia="Times New Roman" w:cs="Tahoma"/>
          <w:color w:val="000000" w:themeColor="text1"/>
          <w:lang w:eastAsia="ru-RU"/>
        </w:rPr>
        <w:t>При принятии риска на себя основной задачей является изыскание источников необходимых ресурсов для покрытия возможных потерь. В данном случае потери покрываются из любых ресурсов, оставшихся после наступления предпринимательского риска и как следствие — наступление потерь. Если оставшихся ресурсов у фирмы недостаточно, то это может привести к сокращению объемов бизнеса.</w:t>
      </w:r>
    </w:p>
    <w:p w:rsidR="007F25EE" w:rsidRPr="007F25EE" w:rsidRDefault="007F25EE" w:rsidP="007F25EE">
      <w:pPr>
        <w:spacing w:before="225" w:after="100" w:afterAutospacing="1" w:line="288" w:lineRule="atLeast"/>
        <w:ind w:right="525"/>
        <w:rPr>
          <w:rFonts w:eastAsia="Times New Roman" w:cs="Tahoma"/>
          <w:color w:val="000000" w:themeColor="text1"/>
          <w:lang w:eastAsia="ru-RU"/>
        </w:rPr>
      </w:pPr>
      <w:r w:rsidRPr="007F25EE">
        <w:rPr>
          <w:rFonts w:eastAsia="Times New Roman" w:cs="Tahoma"/>
          <w:color w:val="000000" w:themeColor="text1"/>
          <w:lang w:eastAsia="ru-RU"/>
        </w:rPr>
        <w:t>Ресурсы, имеющиеся в распоряжении предпринимательской организации для покрытия потери, можно разделить на две группы:</w:t>
      </w:r>
    </w:p>
    <w:p w:rsidR="007F25EE" w:rsidRPr="007F25EE" w:rsidRDefault="007F25EE" w:rsidP="007F25EE">
      <w:pPr>
        <w:pStyle w:val="a6"/>
        <w:spacing w:before="225" w:after="100" w:afterAutospacing="1" w:line="288" w:lineRule="atLeast"/>
        <w:ind w:right="525"/>
        <w:rPr>
          <w:rFonts w:eastAsia="Times New Roman" w:cs="Tahoma"/>
          <w:color w:val="000000" w:themeColor="text1"/>
          <w:lang w:eastAsia="ru-RU"/>
        </w:rPr>
      </w:pPr>
      <w:r w:rsidRPr="007F25EE">
        <w:rPr>
          <w:rFonts w:eastAsia="Times New Roman" w:cs="Tahoma"/>
          <w:color w:val="000000" w:themeColor="text1"/>
          <w:lang w:eastAsia="ru-RU"/>
        </w:rPr>
        <w:t>1 ресурсы внутри самого бизнеса;</w:t>
      </w:r>
    </w:p>
    <w:p w:rsidR="007F25EE" w:rsidRPr="007F25EE" w:rsidRDefault="007F25EE" w:rsidP="007F25EE">
      <w:pPr>
        <w:pStyle w:val="a6"/>
        <w:spacing w:before="225" w:after="100" w:afterAutospacing="1" w:line="288" w:lineRule="atLeast"/>
        <w:ind w:right="525"/>
        <w:rPr>
          <w:rFonts w:eastAsia="Times New Roman" w:cs="Tahoma"/>
          <w:color w:val="000000" w:themeColor="text1"/>
          <w:lang w:eastAsia="ru-RU"/>
        </w:rPr>
      </w:pPr>
      <w:r w:rsidRPr="007F25EE">
        <w:rPr>
          <w:rFonts w:eastAsia="Times New Roman" w:cs="Tahoma"/>
          <w:color w:val="000000" w:themeColor="text1"/>
          <w:lang w:eastAsia="ru-RU"/>
        </w:rPr>
        <w:t>2 кредитные ресурсы.</w:t>
      </w:r>
    </w:p>
    <w:p w:rsidR="007F25EE" w:rsidRPr="007F25EE" w:rsidRDefault="007F25EE" w:rsidP="007F25EE">
      <w:pPr>
        <w:pStyle w:val="a6"/>
        <w:spacing w:before="225" w:after="100" w:afterAutospacing="1" w:line="288" w:lineRule="atLeast"/>
        <w:ind w:right="525"/>
        <w:rPr>
          <w:rFonts w:eastAsia="Times New Roman" w:cs="Tahoma"/>
          <w:color w:val="000000" w:themeColor="text1"/>
          <w:lang w:eastAsia="ru-RU"/>
        </w:rPr>
      </w:pPr>
    </w:p>
    <w:p w:rsidR="007F25EE" w:rsidRPr="007F25EE" w:rsidRDefault="007F25EE" w:rsidP="007F25EE">
      <w:pPr>
        <w:pStyle w:val="a6"/>
        <w:numPr>
          <w:ilvl w:val="0"/>
          <w:numId w:val="4"/>
        </w:numPr>
        <w:spacing w:before="225" w:after="100" w:afterAutospacing="1" w:line="288" w:lineRule="atLeast"/>
        <w:ind w:left="360" w:right="525"/>
        <w:rPr>
          <w:rFonts w:eastAsia="Times New Roman" w:cs="Tahoma"/>
          <w:color w:val="000000" w:themeColor="text1"/>
          <w:lang w:eastAsia="ru-RU"/>
        </w:rPr>
      </w:pPr>
      <w:r w:rsidRPr="007F25EE">
        <w:rPr>
          <w:rFonts w:eastAsia="Times New Roman" w:cs="Tahoma"/>
          <w:color w:val="000000" w:themeColor="text1"/>
          <w:lang w:eastAsia="ru-RU"/>
        </w:rPr>
        <w:t xml:space="preserve">Механизм нейтрализации – Ресурсы внутри самого бизнеса </w:t>
      </w:r>
    </w:p>
    <w:p w:rsidR="007F25EE" w:rsidRPr="007F25EE" w:rsidRDefault="007F25EE" w:rsidP="007F25EE">
      <w:pPr>
        <w:spacing w:before="225" w:after="100" w:afterAutospacing="1" w:line="288" w:lineRule="atLeast"/>
        <w:ind w:right="525"/>
        <w:rPr>
          <w:rFonts w:eastAsia="Times New Roman" w:cs="Tahoma"/>
          <w:color w:val="000000" w:themeColor="text1"/>
          <w:lang w:eastAsia="ru-RU"/>
        </w:rPr>
      </w:pPr>
      <w:r w:rsidRPr="007F25EE">
        <w:rPr>
          <w:rFonts w:eastAsia="Times New Roman" w:cs="Tahoma"/>
          <w:color w:val="000000" w:themeColor="text1"/>
          <w:lang w:eastAsia="ru-RU"/>
        </w:rPr>
        <w:t>Ресурсы внутри самого бизнеса. При возникновении потерь крайне редко бывают повреждены все виды собственности одновременно, поэтому к внутренним ресурсам относятся:</w:t>
      </w:r>
    </w:p>
    <w:p w:rsidR="007F25EE" w:rsidRPr="007F25EE" w:rsidRDefault="007F25EE" w:rsidP="007F25EE">
      <w:pPr>
        <w:spacing w:before="225" w:after="100" w:afterAutospacing="1" w:line="288" w:lineRule="atLeast"/>
        <w:ind w:right="525"/>
        <w:rPr>
          <w:rFonts w:eastAsia="Times New Roman" w:cs="Tahoma"/>
          <w:color w:val="000000" w:themeColor="text1"/>
          <w:lang w:eastAsia="ru-RU"/>
        </w:rPr>
      </w:pPr>
      <w:r w:rsidRPr="007F25EE">
        <w:rPr>
          <w:rFonts w:eastAsia="Times New Roman" w:cs="Tahoma"/>
          <w:color w:val="000000" w:themeColor="text1"/>
          <w:lang w:eastAsia="ru-RU"/>
        </w:rPr>
        <w:t>• наличность в кассе, которая не страдает при физическом повреждении зданий и сооружений, принадлежащих предприятию;</w:t>
      </w:r>
    </w:p>
    <w:p w:rsidR="007F25EE" w:rsidRPr="007F25EE" w:rsidRDefault="007F25EE" w:rsidP="007F25EE">
      <w:pPr>
        <w:spacing w:before="225" w:after="100" w:afterAutospacing="1" w:line="288" w:lineRule="atLeast"/>
        <w:ind w:right="525"/>
        <w:rPr>
          <w:rFonts w:eastAsia="Times New Roman" w:cs="Tahoma"/>
          <w:color w:val="000000" w:themeColor="text1"/>
          <w:lang w:eastAsia="ru-RU"/>
        </w:rPr>
      </w:pPr>
      <w:r w:rsidRPr="007F25EE">
        <w:rPr>
          <w:rFonts w:eastAsia="Times New Roman" w:cs="Tahoma"/>
          <w:color w:val="000000" w:themeColor="text1"/>
          <w:lang w:eastAsia="ru-RU"/>
        </w:rPr>
        <w:t>• остаточная стоимость поврежденной собственности;</w:t>
      </w:r>
    </w:p>
    <w:p w:rsidR="007F25EE" w:rsidRPr="007F25EE" w:rsidRDefault="007F25EE" w:rsidP="007F25EE">
      <w:pPr>
        <w:spacing w:before="225" w:after="100" w:afterAutospacing="1" w:line="288" w:lineRule="atLeast"/>
        <w:ind w:right="525"/>
        <w:rPr>
          <w:rFonts w:eastAsia="Times New Roman" w:cs="Tahoma"/>
          <w:color w:val="000000" w:themeColor="text1"/>
          <w:lang w:eastAsia="ru-RU"/>
        </w:rPr>
      </w:pPr>
      <w:r w:rsidRPr="007F25EE">
        <w:rPr>
          <w:rFonts w:eastAsia="Times New Roman" w:cs="Tahoma"/>
          <w:color w:val="000000" w:themeColor="text1"/>
          <w:lang w:eastAsia="ru-RU"/>
        </w:rPr>
        <w:t>• доход от частичного продолжения как финансовой, так и производственной деятельности;</w:t>
      </w:r>
    </w:p>
    <w:p w:rsidR="007F25EE" w:rsidRPr="007F25EE" w:rsidRDefault="007F25EE" w:rsidP="007F25EE">
      <w:pPr>
        <w:spacing w:before="225" w:after="100" w:afterAutospacing="1" w:line="288" w:lineRule="atLeast"/>
        <w:ind w:right="525"/>
        <w:rPr>
          <w:rFonts w:eastAsia="Times New Roman" w:cs="Tahoma"/>
          <w:color w:val="000000" w:themeColor="text1"/>
          <w:lang w:eastAsia="ru-RU"/>
        </w:rPr>
      </w:pPr>
      <w:r w:rsidRPr="007F25EE">
        <w:rPr>
          <w:rFonts w:eastAsia="Times New Roman" w:cs="Tahoma"/>
          <w:color w:val="000000" w:themeColor="text1"/>
          <w:lang w:eastAsia="ru-RU"/>
        </w:rPr>
        <w:t>• дивиденды и процентный доход от ценных бумаг и доходных инвестиций;</w:t>
      </w:r>
    </w:p>
    <w:p w:rsidR="007F25EE" w:rsidRPr="007F25EE" w:rsidRDefault="007F25EE" w:rsidP="007F25EE">
      <w:pPr>
        <w:spacing w:before="225" w:after="100" w:afterAutospacing="1" w:line="288" w:lineRule="atLeast"/>
        <w:ind w:right="525"/>
        <w:rPr>
          <w:rFonts w:eastAsia="Times New Roman" w:cs="Tahoma"/>
          <w:color w:val="000000" w:themeColor="text1"/>
          <w:lang w:eastAsia="ru-RU"/>
        </w:rPr>
      </w:pPr>
      <w:r w:rsidRPr="007F25EE">
        <w:rPr>
          <w:rFonts w:eastAsia="Times New Roman" w:cs="Tahoma"/>
          <w:color w:val="000000" w:themeColor="text1"/>
          <w:lang w:eastAsia="ru-RU"/>
        </w:rPr>
        <w:t>• дополнительные средства, вносимые владельцами бизнеса с целью его поддержания и пр.</w:t>
      </w:r>
    </w:p>
    <w:p w:rsidR="007F25EE" w:rsidRPr="007F25EE" w:rsidRDefault="007F25EE" w:rsidP="007F25EE">
      <w:pPr>
        <w:spacing w:before="225" w:after="100" w:afterAutospacing="1" w:line="288" w:lineRule="atLeast"/>
        <w:ind w:right="525"/>
        <w:rPr>
          <w:rFonts w:eastAsia="Times New Roman" w:cs="Tahoma"/>
          <w:color w:val="000000" w:themeColor="text1"/>
          <w:lang w:eastAsia="ru-RU"/>
        </w:rPr>
      </w:pPr>
      <w:r w:rsidRPr="007F25EE">
        <w:rPr>
          <w:rFonts w:eastAsia="Times New Roman" w:cs="Tahoma"/>
          <w:color w:val="000000" w:themeColor="text1"/>
          <w:lang w:eastAsia="ru-RU"/>
        </w:rPr>
        <w:t>• нераспределенный остаток прибыли, полученной в отчетном периоде, 6до его распределения может рассматриваться как резерв финансовых ресурсов, направляемых в необходимом случае на ликвидацию негативных последствий от</w:t>
      </w:r>
      <w:r w:rsidRPr="007F25EE">
        <w:rPr>
          <w:rFonts w:eastAsia="Times New Roman" w:cs="Tahoma"/>
          <w:color w:val="000000" w:themeColor="text1"/>
          <w:lang w:eastAsia="ru-RU"/>
        </w:rPr>
        <w:softHyphen/>
        <w:t>дельных финансовых рисков;</w:t>
      </w:r>
    </w:p>
    <w:p w:rsidR="007F25EE" w:rsidRPr="007F25EE" w:rsidRDefault="007F25EE" w:rsidP="007F25EE">
      <w:pPr>
        <w:spacing w:before="225" w:after="100" w:afterAutospacing="1" w:line="288" w:lineRule="atLeast"/>
        <w:ind w:right="525"/>
        <w:rPr>
          <w:rFonts w:ascii="Tahoma" w:eastAsia="Times New Roman" w:hAnsi="Tahoma" w:cs="Tahoma"/>
          <w:color w:val="424242"/>
          <w:lang w:eastAsia="ru-RU"/>
        </w:rPr>
      </w:pPr>
    </w:p>
    <w:sectPr w:rsidR="007F25EE" w:rsidRPr="007F25EE" w:rsidSect="00B65CC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E2ABA"/>
    <w:multiLevelType w:val="multilevel"/>
    <w:tmpl w:val="9500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CF29D0"/>
    <w:multiLevelType w:val="hybridMultilevel"/>
    <w:tmpl w:val="BE929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003"/>
    <w:multiLevelType w:val="hybridMultilevel"/>
    <w:tmpl w:val="96DCF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70F1C"/>
    <w:multiLevelType w:val="hybridMultilevel"/>
    <w:tmpl w:val="9432EB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6E"/>
    <w:rsid w:val="000F776E"/>
    <w:rsid w:val="006B3461"/>
    <w:rsid w:val="007F25EE"/>
    <w:rsid w:val="00AD1AE3"/>
    <w:rsid w:val="00B6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0E08"/>
  <w15:chartTrackingRefBased/>
  <w15:docId w15:val="{F37385E5-8FFB-C94F-B8D5-6DCD5645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AD1AE3"/>
  </w:style>
  <w:style w:type="character" w:styleId="a4">
    <w:name w:val="Hyperlink"/>
    <w:basedOn w:val="a0"/>
    <w:uiPriority w:val="99"/>
    <w:semiHidden/>
    <w:unhideWhenUsed/>
    <w:rsid w:val="00AD1AE3"/>
    <w:rPr>
      <w:color w:val="0000FF"/>
      <w:u w:val="single"/>
    </w:rPr>
  </w:style>
  <w:style w:type="character" w:styleId="a5">
    <w:name w:val="Strong"/>
    <w:basedOn w:val="a0"/>
    <w:uiPriority w:val="22"/>
    <w:qFormat/>
    <w:rsid w:val="00AD1AE3"/>
    <w:rPr>
      <w:b/>
      <w:bCs/>
    </w:rPr>
  </w:style>
  <w:style w:type="paragraph" w:styleId="a6">
    <w:name w:val="List Paragraph"/>
    <w:basedOn w:val="a"/>
    <w:uiPriority w:val="34"/>
    <w:qFormat/>
    <w:rsid w:val="00AD1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hyperlink" Target="http://konspekts.ru/predprinimatelstvo/sushhnost-predprinimatelskoj-tajny/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B39F1D-2446-244E-8388-A1D0F511935F}" type="doc">
      <dgm:prSet loTypeId="urn:microsoft.com/office/officeart/2005/8/layout/arrow2" loCatId="" qsTypeId="urn:microsoft.com/office/officeart/2005/8/quickstyle/simple1" qsCatId="simple" csTypeId="urn:microsoft.com/office/officeart/2005/8/colors/accent1_2" csCatId="accent1" phldr="1"/>
      <dgm:spPr/>
    </dgm:pt>
    <dgm:pt modelId="{AE97D9DF-0ABA-644F-B90F-0414DB8B8115}">
      <dgm:prSet phldrT="[Текст]" custT="1"/>
      <dgm:spPr/>
      <dgm:t>
        <a:bodyPr/>
        <a:lstStyle/>
        <a:p>
          <a:r>
            <a:rPr lang="ru-RU" sz="1100"/>
            <a:t>несанкционированное распространение сведенией , представляющих интерес для компаний-конкурентотв</a:t>
          </a:r>
        </a:p>
      </dgm:t>
    </dgm:pt>
    <dgm:pt modelId="{748AE3D1-E2D8-C640-8815-1B7F93813D1E}" type="parTrans" cxnId="{20ECBB07-8E97-164D-8742-BCE905D8F2A5}">
      <dgm:prSet/>
      <dgm:spPr/>
      <dgm:t>
        <a:bodyPr/>
        <a:lstStyle/>
        <a:p>
          <a:endParaRPr lang="ru-RU"/>
        </a:p>
      </dgm:t>
    </dgm:pt>
    <dgm:pt modelId="{15CBCE92-2E93-4B48-8AD0-7B3D92FB8712}" type="sibTrans" cxnId="{20ECBB07-8E97-164D-8742-BCE905D8F2A5}">
      <dgm:prSet/>
      <dgm:spPr/>
      <dgm:t>
        <a:bodyPr/>
        <a:lstStyle/>
        <a:p>
          <a:endParaRPr lang="ru-RU"/>
        </a:p>
      </dgm:t>
    </dgm:pt>
    <dgm:pt modelId="{F39D05C4-31ED-9841-8527-2596AB79EE2D}">
      <dgm:prSet phldrT="[Текст]" custT="1"/>
      <dgm:spPr/>
      <dgm:t>
        <a:bodyPr/>
        <a:lstStyle/>
        <a:p>
          <a:r>
            <a:rPr lang="ru-RU" sz="1200"/>
            <a:t>падение продаж, неконкурентноспособность фирмы </a:t>
          </a:r>
        </a:p>
      </dgm:t>
    </dgm:pt>
    <dgm:pt modelId="{634FA4EA-9355-7C4E-B768-C3A599B13458}" type="parTrans" cxnId="{1A6625A4-F794-0F42-8059-F86EC04215A5}">
      <dgm:prSet/>
      <dgm:spPr/>
      <dgm:t>
        <a:bodyPr/>
        <a:lstStyle/>
        <a:p>
          <a:endParaRPr lang="ru-RU"/>
        </a:p>
      </dgm:t>
    </dgm:pt>
    <dgm:pt modelId="{22CE9C31-5FD6-0945-8C64-13415A172CA8}" type="sibTrans" cxnId="{1A6625A4-F794-0F42-8059-F86EC04215A5}">
      <dgm:prSet/>
      <dgm:spPr/>
      <dgm:t>
        <a:bodyPr/>
        <a:lstStyle/>
        <a:p>
          <a:endParaRPr lang="ru-RU"/>
        </a:p>
      </dgm:t>
    </dgm:pt>
    <dgm:pt modelId="{901C1055-E0C3-8249-93BB-35D64CD7DEBD}">
      <dgm:prSet phldrT="[Текст]" custT="1"/>
      <dgm:spPr/>
      <dgm:t>
        <a:bodyPr/>
        <a:lstStyle/>
        <a:p>
          <a:r>
            <a:rPr lang="ru-RU" sz="1200"/>
            <a:t>проблема, которую следует решить</a:t>
          </a:r>
        </a:p>
      </dgm:t>
    </dgm:pt>
    <dgm:pt modelId="{A734E00B-EA03-B547-8BF1-EF86B00B37F4}" type="parTrans" cxnId="{28C600EE-0F92-6140-AFB3-9EA5BA6D6C1D}">
      <dgm:prSet/>
      <dgm:spPr/>
      <dgm:t>
        <a:bodyPr/>
        <a:lstStyle/>
        <a:p>
          <a:endParaRPr lang="ru-RU"/>
        </a:p>
      </dgm:t>
    </dgm:pt>
    <dgm:pt modelId="{3927878E-0263-7140-BC3D-3819F002D3E7}" type="sibTrans" cxnId="{28C600EE-0F92-6140-AFB3-9EA5BA6D6C1D}">
      <dgm:prSet/>
      <dgm:spPr/>
      <dgm:t>
        <a:bodyPr/>
        <a:lstStyle/>
        <a:p>
          <a:endParaRPr lang="ru-RU"/>
        </a:p>
      </dgm:t>
    </dgm:pt>
    <dgm:pt modelId="{859EE073-7665-0D43-9623-0E6F4E6F85C5}" type="pres">
      <dgm:prSet presAssocID="{53B39F1D-2446-244E-8388-A1D0F511935F}" presName="arrowDiagram" presStyleCnt="0">
        <dgm:presLayoutVars>
          <dgm:chMax val="5"/>
          <dgm:dir/>
          <dgm:resizeHandles val="exact"/>
        </dgm:presLayoutVars>
      </dgm:prSet>
      <dgm:spPr/>
    </dgm:pt>
    <dgm:pt modelId="{F2F20C2A-E353-754C-BFA0-9311A993C703}" type="pres">
      <dgm:prSet presAssocID="{53B39F1D-2446-244E-8388-A1D0F511935F}" presName="arrow" presStyleLbl="bgShp" presStyleIdx="0" presStyleCnt="1"/>
      <dgm:spPr/>
    </dgm:pt>
    <dgm:pt modelId="{7497D879-964B-B840-8F80-C7B7D83E6C3F}" type="pres">
      <dgm:prSet presAssocID="{53B39F1D-2446-244E-8388-A1D0F511935F}" presName="arrowDiagram3" presStyleCnt="0"/>
      <dgm:spPr/>
    </dgm:pt>
    <dgm:pt modelId="{60E80AFA-B33E-EA44-B7C0-DF4098C8CD3C}" type="pres">
      <dgm:prSet presAssocID="{AE97D9DF-0ABA-644F-B90F-0414DB8B8115}" presName="bullet3a" presStyleLbl="node1" presStyleIdx="0" presStyleCnt="3"/>
      <dgm:spPr/>
    </dgm:pt>
    <dgm:pt modelId="{DAD027AD-440E-444C-B62F-A5A8BDA7D494}" type="pres">
      <dgm:prSet presAssocID="{AE97D9DF-0ABA-644F-B90F-0414DB8B8115}" presName="textBox3a" presStyleLbl="revTx" presStyleIdx="0" presStyleCnt="3" custScaleX="177078" custScaleY="83995" custLinFactNeighborX="47424" custLinFactNeighborY="-1018">
        <dgm:presLayoutVars>
          <dgm:bulletEnabled val="1"/>
        </dgm:presLayoutVars>
      </dgm:prSet>
      <dgm:spPr/>
    </dgm:pt>
    <dgm:pt modelId="{E2E4A519-781B-E44F-8E56-A0AF8FF5E308}" type="pres">
      <dgm:prSet presAssocID="{F39D05C4-31ED-9841-8527-2596AB79EE2D}" presName="bullet3b" presStyleLbl="node1" presStyleIdx="1" presStyleCnt="3"/>
      <dgm:spPr/>
    </dgm:pt>
    <dgm:pt modelId="{4EA88667-7972-DF46-AC67-DBDB2A145E79}" type="pres">
      <dgm:prSet presAssocID="{F39D05C4-31ED-9841-8527-2596AB79EE2D}" presName="textBox3b" presStyleLbl="revTx" presStyleIdx="1" presStyleCnt="3" custScaleX="130208" custScaleY="58468" custLinFactNeighborX="23037" custLinFactNeighborY="-17331">
        <dgm:presLayoutVars>
          <dgm:bulletEnabled val="1"/>
        </dgm:presLayoutVars>
      </dgm:prSet>
      <dgm:spPr/>
    </dgm:pt>
    <dgm:pt modelId="{0DF3F85E-00EC-214A-AFCD-5046DCBA9E9A}" type="pres">
      <dgm:prSet presAssocID="{901C1055-E0C3-8249-93BB-35D64CD7DEBD}" presName="bullet3c" presStyleLbl="node1" presStyleIdx="2" presStyleCnt="3"/>
      <dgm:spPr/>
    </dgm:pt>
    <dgm:pt modelId="{9B2D78AD-8F39-5D4F-853A-B0794AF0ACA4}" type="pres">
      <dgm:prSet presAssocID="{901C1055-E0C3-8249-93BB-35D64CD7DEBD}" presName="textBox3c" presStyleLbl="revTx" presStyleIdx="2" presStyleCnt="3" custScaleX="191290" custScaleY="10692" custLinFactNeighborX="43440" custLinFactNeighborY="-36591">
        <dgm:presLayoutVars>
          <dgm:bulletEnabled val="1"/>
        </dgm:presLayoutVars>
      </dgm:prSet>
      <dgm:spPr/>
    </dgm:pt>
  </dgm:ptLst>
  <dgm:cxnLst>
    <dgm:cxn modelId="{20ECBB07-8E97-164D-8742-BCE905D8F2A5}" srcId="{53B39F1D-2446-244E-8388-A1D0F511935F}" destId="{AE97D9DF-0ABA-644F-B90F-0414DB8B8115}" srcOrd="0" destOrd="0" parTransId="{748AE3D1-E2D8-C640-8815-1B7F93813D1E}" sibTransId="{15CBCE92-2E93-4B48-8AD0-7B3D92FB8712}"/>
    <dgm:cxn modelId="{6656DB3C-82DB-EA40-B935-476492392BBF}" type="presOf" srcId="{901C1055-E0C3-8249-93BB-35D64CD7DEBD}" destId="{9B2D78AD-8F39-5D4F-853A-B0794AF0ACA4}" srcOrd="0" destOrd="0" presId="urn:microsoft.com/office/officeart/2005/8/layout/arrow2"/>
    <dgm:cxn modelId="{A67D0A4C-1D0D-9642-91DA-82E9DDFA3A69}" type="presOf" srcId="{AE97D9DF-0ABA-644F-B90F-0414DB8B8115}" destId="{DAD027AD-440E-444C-B62F-A5A8BDA7D494}" srcOrd="0" destOrd="0" presId="urn:microsoft.com/office/officeart/2005/8/layout/arrow2"/>
    <dgm:cxn modelId="{7D977B90-BCC4-024E-865C-C3B4AE908AA6}" type="presOf" srcId="{53B39F1D-2446-244E-8388-A1D0F511935F}" destId="{859EE073-7665-0D43-9623-0E6F4E6F85C5}" srcOrd="0" destOrd="0" presId="urn:microsoft.com/office/officeart/2005/8/layout/arrow2"/>
    <dgm:cxn modelId="{1A6625A4-F794-0F42-8059-F86EC04215A5}" srcId="{53B39F1D-2446-244E-8388-A1D0F511935F}" destId="{F39D05C4-31ED-9841-8527-2596AB79EE2D}" srcOrd="1" destOrd="0" parTransId="{634FA4EA-9355-7C4E-B768-C3A599B13458}" sibTransId="{22CE9C31-5FD6-0945-8C64-13415A172CA8}"/>
    <dgm:cxn modelId="{D0BBEAAF-8DCB-7F4E-AD58-E737C3714918}" type="presOf" srcId="{F39D05C4-31ED-9841-8527-2596AB79EE2D}" destId="{4EA88667-7972-DF46-AC67-DBDB2A145E79}" srcOrd="0" destOrd="0" presId="urn:microsoft.com/office/officeart/2005/8/layout/arrow2"/>
    <dgm:cxn modelId="{28C600EE-0F92-6140-AFB3-9EA5BA6D6C1D}" srcId="{53B39F1D-2446-244E-8388-A1D0F511935F}" destId="{901C1055-E0C3-8249-93BB-35D64CD7DEBD}" srcOrd="2" destOrd="0" parTransId="{A734E00B-EA03-B547-8BF1-EF86B00B37F4}" sibTransId="{3927878E-0263-7140-BC3D-3819F002D3E7}"/>
    <dgm:cxn modelId="{AF4AE9D2-E68D-A54E-BAAE-BDC99E79A252}" type="presParOf" srcId="{859EE073-7665-0D43-9623-0E6F4E6F85C5}" destId="{F2F20C2A-E353-754C-BFA0-9311A993C703}" srcOrd="0" destOrd="0" presId="urn:microsoft.com/office/officeart/2005/8/layout/arrow2"/>
    <dgm:cxn modelId="{AD67CE67-2CC5-4941-8050-5B9A1186CEAD}" type="presParOf" srcId="{859EE073-7665-0D43-9623-0E6F4E6F85C5}" destId="{7497D879-964B-B840-8F80-C7B7D83E6C3F}" srcOrd="1" destOrd="0" presId="urn:microsoft.com/office/officeart/2005/8/layout/arrow2"/>
    <dgm:cxn modelId="{54A63C68-8FA5-CF4B-8E57-D8E65F5E7942}" type="presParOf" srcId="{7497D879-964B-B840-8F80-C7B7D83E6C3F}" destId="{60E80AFA-B33E-EA44-B7C0-DF4098C8CD3C}" srcOrd="0" destOrd="0" presId="urn:microsoft.com/office/officeart/2005/8/layout/arrow2"/>
    <dgm:cxn modelId="{E49C34B0-EAEE-874A-986F-418C614CB4C3}" type="presParOf" srcId="{7497D879-964B-B840-8F80-C7B7D83E6C3F}" destId="{DAD027AD-440E-444C-B62F-A5A8BDA7D494}" srcOrd="1" destOrd="0" presId="urn:microsoft.com/office/officeart/2005/8/layout/arrow2"/>
    <dgm:cxn modelId="{0ACB6F49-D454-9A4B-A0F1-BF59FBB6C7EE}" type="presParOf" srcId="{7497D879-964B-B840-8F80-C7B7D83E6C3F}" destId="{E2E4A519-781B-E44F-8E56-A0AF8FF5E308}" srcOrd="2" destOrd="0" presId="urn:microsoft.com/office/officeart/2005/8/layout/arrow2"/>
    <dgm:cxn modelId="{7771A690-C0AE-754A-887C-3E8A1DD5296B}" type="presParOf" srcId="{7497D879-964B-B840-8F80-C7B7D83E6C3F}" destId="{4EA88667-7972-DF46-AC67-DBDB2A145E79}" srcOrd="3" destOrd="0" presId="urn:microsoft.com/office/officeart/2005/8/layout/arrow2"/>
    <dgm:cxn modelId="{3056EBE5-FD7B-834A-A1DE-125FD7253F72}" type="presParOf" srcId="{7497D879-964B-B840-8F80-C7B7D83E6C3F}" destId="{0DF3F85E-00EC-214A-AFCD-5046DCBA9E9A}" srcOrd="4" destOrd="0" presId="urn:microsoft.com/office/officeart/2005/8/layout/arrow2"/>
    <dgm:cxn modelId="{48D7BC48-DEFE-1344-B331-6E007EEC392D}" type="presParOf" srcId="{7497D879-964B-B840-8F80-C7B7D83E6C3F}" destId="{9B2D78AD-8F39-5D4F-853A-B0794AF0ACA4}" srcOrd="5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F20C2A-E353-754C-BFA0-9311A993C703}">
      <dsp:nvSpPr>
        <dsp:cNvPr id="0" name=""/>
        <dsp:cNvSpPr/>
      </dsp:nvSpPr>
      <dsp:spPr>
        <a:xfrm>
          <a:off x="351788" y="0"/>
          <a:ext cx="4714240" cy="2946400"/>
        </a:xfrm>
        <a:prstGeom prst="swooshArrow">
          <a:avLst>
            <a:gd name="adj1" fmla="val 25000"/>
            <a:gd name="adj2" fmla="val 2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0E80AFA-B33E-EA44-B7C0-DF4098C8CD3C}">
      <dsp:nvSpPr>
        <dsp:cNvPr id="0" name=""/>
        <dsp:cNvSpPr/>
      </dsp:nvSpPr>
      <dsp:spPr>
        <a:xfrm>
          <a:off x="950497" y="2033605"/>
          <a:ext cx="122570" cy="12257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D027AD-440E-444C-B62F-A5A8BDA7D494}">
      <dsp:nvSpPr>
        <dsp:cNvPr id="0" name=""/>
        <dsp:cNvSpPr/>
      </dsp:nvSpPr>
      <dsp:spPr>
        <a:xfrm>
          <a:off x="1109376" y="2154364"/>
          <a:ext cx="1945056" cy="71522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947" tIns="0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несанкционированное распространение сведенией , представляющих интерес для компаний-конкурентотв</a:t>
          </a:r>
        </a:p>
      </dsp:txBody>
      <dsp:txXfrm>
        <a:off x="1109376" y="2154364"/>
        <a:ext cx="1945056" cy="715225"/>
      </dsp:txXfrm>
    </dsp:sp>
    <dsp:sp modelId="{E2E4A519-781B-E44F-8E56-A0AF8FF5E308}">
      <dsp:nvSpPr>
        <dsp:cNvPr id="0" name=""/>
        <dsp:cNvSpPr/>
      </dsp:nvSpPr>
      <dsp:spPr>
        <a:xfrm>
          <a:off x="2032415" y="1232773"/>
          <a:ext cx="221569" cy="2215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A88667-7972-DF46-AC67-DBDB2A145E79}">
      <dsp:nvSpPr>
        <dsp:cNvPr id="0" name=""/>
        <dsp:cNvSpPr/>
      </dsp:nvSpPr>
      <dsp:spPr>
        <a:xfrm>
          <a:off x="2232955" y="1398616"/>
          <a:ext cx="1473196" cy="93714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7405" tIns="0" rIns="0" bIns="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падение продаж, неконкурентноспособность фирмы </a:t>
          </a:r>
        </a:p>
      </dsp:txBody>
      <dsp:txXfrm>
        <a:off x="2232955" y="1398616"/>
        <a:ext cx="1473196" cy="937149"/>
      </dsp:txXfrm>
    </dsp:sp>
    <dsp:sp modelId="{0DF3F85E-00EC-214A-AFCD-5046DCBA9E9A}">
      <dsp:nvSpPr>
        <dsp:cNvPr id="0" name=""/>
        <dsp:cNvSpPr/>
      </dsp:nvSpPr>
      <dsp:spPr>
        <a:xfrm>
          <a:off x="3333545" y="745439"/>
          <a:ext cx="306425" cy="30642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2D78AD-8F39-5D4F-853A-B0794AF0ACA4}">
      <dsp:nvSpPr>
        <dsp:cNvPr id="0" name=""/>
        <dsp:cNvSpPr/>
      </dsp:nvSpPr>
      <dsp:spPr>
        <a:xfrm>
          <a:off x="3322111" y="1063761"/>
          <a:ext cx="2164288" cy="2189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2369" tIns="0" rIns="0" bIns="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проблема, которую следует решить</a:t>
          </a:r>
        </a:p>
      </dsp:txBody>
      <dsp:txXfrm>
        <a:off x="3322111" y="1063761"/>
        <a:ext cx="2164288" cy="2189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Бородёнкова</dc:creator>
  <cp:keywords/>
  <dc:description/>
  <cp:lastModifiedBy>Катя Бородёнкова</cp:lastModifiedBy>
  <cp:revision>1</cp:revision>
  <dcterms:created xsi:type="dcterms:W3CDTF">2020-09-07T10:28:00Z</dcterms:created>
  <dcterms:modified xsi:type="dcterms:W3CDTF">2020-09-07T14:38:00Z</dcterms:modified>
</cp:coreProperties>
</file>